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3D" w:rsidRDefault="00E81F26" w:rsidP="004974A1">
      <w:r>
        <w:t xml:space="preserve">Bergen Community College’s annual </w:t>
      </w:r>
      <w:r w:rsidR="001C4875" w:rsidRPr="00C73DC4">
        <w:rPr>
          <w:i/>
        </w:rPr>
        <w:t>Tri-State</w:t>
      </w:r>
      <w:r w:rsidR="001C4875">
        <w:t xml:space="preserve"> </w:t>
      </w:r>
      <w:r w:rsidR="004974A1" w:rsidRPr="00311A2F">
        <w:rPr>
          <w:i/>
        </w:rPr>
        <w:t>Best Practices</w:t>
      </w:r>
      <w:r>
        <w:rPr>
          <w:i/>
        </w:rPr>
        <w:t xml:space="preserve"> Conference</w:t>
      </w:r>
      <w:r w:rsidR="004974A1">
        <w:t xml:space="preserve"> </w:t>
      </w:r>
      <w:r w:rsidR="002D4162">
        <w:t>provides</w:t>
      </w:r>
      <w:r w:rsidR="004974A1">
        <w:t xml:space="preserve"> a forum through which issues affecting teaching and learning in </w:t>
      </w:r>
      <w:r w:rsidR="002D4162">
        <w:t xml:space="preserve">our area </w:t>
      </w:r>
      <w:r w:rsidR="004974A1">
        <w:t xml:space="preserve">colleges can be addressed.  </w:t>
      </w:r>
      <w:r w:rsidR="00E560E8">
        <w:t xml:space="preserve">Through this forum, </w:t>
      </w:r>
      <w:r w:rsidR="004974A1">
        <w:t>problems</w:t>
      </w:r>
      <w:r w:rsidR="00E560E8">
        <w:t xml:space="preserve"> impacting </w:t>
      </w:r>
      <w:r w:rsidR="0089173D">
        <w:t>higher education are identified</w:t>
      </w:r>
      <w:r w:rsidR="004974A1">
        <w:t>, possible solutions</w:t>
      </w:r>
      <w:r w:rsidR="0089173D">
        <w:t xml:space="preserve"> are discussed</w:t>
      </w:r>
      <w:r w:rsidR="004974A1">
        <w:t xml:space="preserve">, </w:t>
      </w:r>
      <w:r w:rsidR="0089173D">
        <w:t xml:space="preserve">and </w:t>
      </w:r>
      <w:r w:rsidR="002D4162">
        <w:t xml:space="preserve">the relevant </w:t>
      </w:r>
      <w:r w:rsidR="0089173D">
        <w:t>social and cultural</w:t>
      </w:r>
      <w:r w:rsidR="004974A1">
        <w:t xml:space="preserve"> factors</w:t>
      </w:r>
      <w:r w:rsidR="0089173D">
        <w:t xml:space="preserve"> are</w:t>
      </w:r>
      <w:r w:rsidR="004974A1">
        <w:t xml:space="preserve"> considered</w:t>
      </w:r>
      <w:r w:rsidR="002D4162">
        <w:t>.</w:t>
      </w:r>
      <w:r w:rsidR="0089173D">
        <w:t xml:space="preserve"> </w:t>
      </w:r>
      <w:r w:rsidR="002D4162">
        <w:t>Participants present</w:t>
      </w:r>
      <w:r w:rsidR="0089173D">
        <w:t xml:space="preserve"> research papers</w:t>
      </w:r>
      <w:r w:rsidR="002D4162">
        <w:t xml:space="preserve">, discuss classroom best practices or provide </w:t>
      </w:r>
      <w:r w:rsidR="0089173D">
        <w:t>roundtable discussion sessions</w:t>
      </w:r>
      <w:r w:rsidR="002D4162">
        <w:t xml:space="preserve"> on any number of topics related to the conference theme.</w:t>
      </w:r>
      <w:r w:rsidR="004974A1">
        <w:t xml:space="preserve"> </w:t>
      </w:r>
      <w:r w:rsidR="0089173D">
        <w:t>Please consider joining this year’</w:t>
      </w:r>
      <w:r w:rsidR="00CE0A25">
        <w:t>s dialogue that will focus on</w:t>
      </w:r>
      <w:r w:rsidR="002D4162">
        <w:t xml:space="preserve"> the theme of</w:t>
      </w:r>
      <w:r w:rsidR="00CE0A25">
        <w:t xml:space="preserve"> </w:t>
      </w:r>
      <w:r w:rsidR="0089173D" w:rsidRPr="00AB1FE1">
        <w:rPr>
          <w:i/>
        </w:rPr>
        <w:t>equity in higher education</w:t>
      </w:r>
      <w:r w:rsidR="00AB1FE1">
        <w:t>.</w:t>
      </w:r>
    </w:p>
    <w:p w:rsidR="004974A1" w:rsidRPr="004974A1" w:rsidRDefault="004974A1"/>
    <w:p w:rsidR="004974A1" w:rsidRPr="004974A1" w:rsidRDefault="004974A1" w:rsidP="004974A1">
      <w:pPr>
        <w:spacing w:after="0" w:line="240" w:lineRule="auto"/>
        <w:jc w:val="center"/>
        <w:rPr>
          <w:rFonts w:eastAsia="Times New Roman" w:cs="Times New Roman"/>
          <w:color w:val="000000" w:themeColor="text1"/>
          <w:sz w:val="36"/>
          <w:szCs w:val="36"/>
        </w:rPr>
      </w:pPr>
      <w:r w:rsidRPr="004974A1">
        <w:rPr>
          <w:rFonts w:eastAsia="Times New Roman" w:cs="Times New Roman"/>
          <w:color w:val="000000" w:themeColor="text1"/>
          <w:sz w:val="36"/>
          <w:szCs w:val="36"/>
        </w:rPr>
        <w:t>Tri-State Best Practices Conference</w:t>
      </w:r>
    </w:p>
    <w:p w:rsidR="004974A1" w:rsidRPr="004974A1" w:rsidRDefault="004974A1" w:rsidP="004974A1">
      <w:pPr>
        <w:spacing w:after="0" w:line="240" w:lineRule="auto"/>
        <w:jc w:val="center"/>
        <w:rPr>
          <w:rFonts w:eastAsia="Times New Roman" w:cs="Times New Roman"/>
          <w:color w:val="000000" w:themeColor="text1"/>
          <w:sz w:val="36"/>
          <w:szCs w:val="36"/>
        </w:rPr>
      </w:pPr>
      <w:r w:rsidRPr="004974A1">
        <w:rPr>
          <w:rFonts w:eastAsia="Times New Roman" w:cs="Times New Roman"/>
          <w:color w:val="000000" w:themeColor="text1"/>
          <w:sz w:val="36"/>
          <w:szCs w:val="36"/>
        </w:rPr>
        <w:t>Call for Papers</w:t>
      </w:r>
    </w:p>
    <w:p w:rsidR="004974A1" w:rsidRPr="004974A1" w:rsidRDefault="004974A1" w:rsidP="004974A1">
      <w:pPr>
        <w:spacing w:after="0" w:line="240" w:lineRule="auto"/>
        <w:jc w:val="center"/>
        <w:rPr>
          <w:rFonts w:eastAsia="Times New Roman" w:cs="Times New Roman"/>
          <w:color w:val="000000" w:themeColor="text1"/>
          <w:sz w:val="36"/>
          <w:szCs w:val="36"/>
        </w:rPr>
      </w:pPr>
      <w:r w:rsidRPr="004974A1">
        <w:rPr>
          <w:rFonts w:eastAsia="Times New Roman" w:cs="Times New Roman"/>
          <w:color w:val="000000" w:themeColor="text1"/>
          <w:sz w:val="36"/>
          <w:szCs w:val="36"/>
        </w:rPr>
        <w:t xml:space="preserve">Conference Date:  Saturday, March </w:t>
      </w:r>
      <w:r w:rsidR="00AB1FE1">
        <w:rPr>
          <w:rFonts w:eastAsia="Times New Roman" w:cs="Times New Roman"/>
          <w:color w:val="000000" w:themeColor="text1"/>
          <w:sz w:val="36"/>
          <w:szCs w:val="36"/>
        </w:rPr>
        <w:t>4</w:t>
      </w:r>
      <w:r w:rsidRPr="004974A1">
        <w:rPr>
          <w:rFonts w:eastAsia="Times New Roman" w:cs="Times New Roman"/>
          <w:color w:val="000000" w:themeColor="text1"/>
          <w:sz w:val="36"/>
          <w:szCs w:val="36"/>
        </w:rPr>
        <w:t>, 201</w:t>
      </w:r>
      <w:r w:rsidR="00AB1FE1">
        <w:rPr>
          <w:rFonts w:eastAsia="Times New Roman" w:cs="Times New Roman"/>
          <w:color w:val="000000" w:themeColor="text1"/>
          <w:sz w:val="36"/>
          <w:szCs w:val="36"/>
        </w:rPr>
        <w:t>7</w:t>
      </w:r>
    </w:p>
    <w:p w:rsidR="004974A1" w:rsidRPr="004974A1" w:rsidRDefault="004974A1" w:rsidP="004974A1">
      <w:pPr>
        <w:spacing w:before="100" w:beforeAutospacing="1" w:after="100" w:afterAutospacing="1" w:line="240" w:lineRule="auto"/>
        <w:rPr>
          <w:rFonts w:eastAsia="Times New Roman" w:cs="Times New Roman"/>
        </w:rPr>
      </w:pPr>
      <w:r w:rsidRPr="004974A1">
        <w:rPr>
          <w:rFonts w:eastAsia="Times New Roman" w:cs="Times New Roman"/>
        </w:rPr>
        <w:t xml:space="preserve">The Meadowlands campus of Bergen Community College is hosting its </w:t>
      </w:r>
      <w:r w:rsidR="00AB1FE1">
        <w:rPr>
          <w:rFonts w:eastAsia="Times New Roman" w:cs="Times New Roman"/>
        </w:rPr>
        <w:t>sixth</w:t>
      </w:r>
      <w:r w:rsidRPr="004974A1">
        <w:rPr>
          <w:rFonts w:eastAsia="Times New Roman" w:cs="Times New Roman"/>
        </w:rPr>
        <w:t xml:space="preserve"> annual one-</w:t>
      </w:r>
      <w:bookmarkStart w:id="0" w:name="_GoBack"/>
      <w:bookmarkEnd w:id="0"/>
      <w:r w:rsidRPr="004974A1">
        <w:rPr>
          <w:rFonts w:eastAsia="Times New Roman" w:cs="Times New Roman"/>
        </w:rPr>
        <w:t xml:space="preserve">day conference dedicated to the exchange of ideas and “best practices” among educators. The theme of this year’s conference is </w:t>
      </w:r>
      <w:r w:rsidRPr="00AB1FE1">
        <w:rPr>
          <w:rFonts w:eastAsia="Times New Roman" w:cs="Times New Roman"/>
          <w:b/>
          <w:i/>
        </w:rPr>
        <w:t>“</w:t>
      </w:r>
      <w:r w:rsidR="00AB1FE1" w:rsidRPr="00AB1FE1">
        <w:rPr>
          <w:rFonts w:eastAsia="Times New Roman" w:cs="Times New Roman"/>
          <w:b/>
          <w:i/>
        </w:rPr>
        <w:t>Issues of Equity in Higher Education</w:t>
      </w:r>
      <w:r w:rsidRPr="00AB1FE1">
        <w:rPr>
          <w:rFonts w:eastAsia="Times New Roman" w:cs="Times New Roman"/>
          <w:b/>
          <w:i/>
        </w:rPr>
        <w:t>.”</w:t>
      </w:r>
      <w:r w:rsidRPr="004974A1">
        <w:rPr>
          <w:rFonts w:eastAsia="Times New Roman" w:cs="Times New Roman"/>
        </w:rPr>
        <w:t xml:space="preserve"> While we will consider submissions on many topics related to pedagogy, scholarly research, or best practices in the college environment, we encourage submissions that focus on the </w:t>
      </w:r>
      <w:r w:rsidR="002D4162">
        <w:rPr>
          <w:rFonts w:eastAsia="Times New Roman" w:cs="Times New Roman"/>
        </w:rPr>
        <w:t>theme of equity</w:t>
      </w:r>
      <w:r w:rsidRPr="004974A1">
        <w:rPr>
          <w:rFonts w:eastAsia="Times New Roman" w:cs="Times New Roman"/>
        </w:rPr>
        <w:t xml:space="preserve"> </w:t>
      </w:r>
      <w:r w:rsidR="002D4162">
        <w:rPr>
          <w:rFonts w:eastAsia="Times New Roman" w:cs="Times New Roman"/>
        </w:rPr>
        <w:t>and</w:t>
      </w:r>
      <w:r w:rsidRPr="004974A1">
        <w:rPr>
          <w:rFonts w:eastAsia="Times New Roman" w:cs="Times New Roman"/>
        </w:rPr>
        <w:t xml:space="preserve"> the</w:t>
      </w:r>
      <w:r w:rsidR="002D4162">
        <w:rPr>
          <w:rFonts w:eastAsia="Times New Roman" w:cs="Times New Roman"/>
        </w:rPr>
        <w:t xml:space="preserve"> college</w:t>
      </w:r>
      <w:r w:rsidRPr="004974A1">
        <w:rPr>
          <w:rFonts w:eastAsia="Times New Roman" w:cs="Times New Roman"/>
        </w:rPr>
        <w:t xml:space="preserve"> learning experience.</w:t>
      </w:r>
    </w:p>
    <w:p w:rsidR="004974A1" w:rsidRPr="004974A1" w:rsidRDefault="004974A1" w:rsidP="004974A1">
      <w:pPr>
        <w:spacing w:before="100" w:beforeAutospacing="1" w:after="100" w:afterAutospacing="1" w:line="240" w:lineRule="auto"/>
        <w:rPr>
          <w:rFonts w:eastAsia="Times New Roman" w:cs="Times New Roman"/>
        </w:rPr>
      </w:pPr>
      <w:r w:rsidRPr="004974A1">
        <w:rPr>
          <w:rFonts w:eastAsia="Times New Roman" w:cs="Times New Roman"/>
        </w:rPr>
        <w:t xml:space="preserve">The purpose of the conference is to provide educators with a theme-based forum through which strategies that can benefit our students are shared. This year’s theme speaks to issues that loom large on many fronts involving numerous social institutions, including government and government policies, the economy and workforce needs, philanthropic organizations and financial needs </w:t>
      </w:r>
      <w:r w:rsidR="002D4162">
        <w:rPr>
          <w:rFonts w:eastAsia="Times New Roman" w:cs="Times New Roman"/>
        </w:rPr>
        <w:t>of</w:t>
      </w:r>
      <w:r w:rsidR="002D4162" w:rsidRPr="004974A1">
        <w:rPr>
          <w:rFonts w:eastAsia="Times New Roman" w:cs="Times New Roman"/>
        </w:rPr>
        <w:t xml:space="preserve"> </w:t>
      </w:r>
      <w:r w:rsidRPr="004974A1">
        <w:rPr>
          <w:rFonts w:eastAsia="Times New Roman" w:cs="Times New Roman"/>
        </w:rPr>
        <w:t xml:space="preserve">schools at all levels.  </w:t>
      </w:r>
      <w:r w:rsidR="002D4162">
        <w:rPr>
          <w:rFonts w:eastAsia="Times New Roman" w:cs="Times New Roman"/>
        </w:rPr>
        <w:t>The</w:t>
      </w:r>
      <w:r w:rsidR="002D4162" w:rsidRPr="004974A1">
        <w:rPr>
          <w:rFonts w:eastAsia="Times New Roman" w:cs="Times New Roman"/>
        </w:rPr>
        <w:t xml:space="preserve"> </w:t>
      </w:r>
      <w:r w:rsidRPr="004974A1">
        <w:rPr>
          <w:rFonts w:eastAsia="Times New Roman" w:cs="Times New Roman"/>
        </w:rPr>
        <w:t xml:space="preserve">focus on </w:t>
      </w:r>
      <w:r w:rsidR="00AB1FE1">
        <w:rPr>
          <w:rFonts w:eastAsia="Times New Roman" w:cs="Times New Roman"/>
        </w:rPr>
        <w:t>equity</w:t>
      </w:r>
      <w:r w:rsidRPr="004974A1">
        <w:rPr>
          <w:rFonts w:eastAsia="Times New Roman" w:cs="Times New Roman"/>
        </w:rPr>
        <w:t xml:space="preserve"> is intended to encourage discourse on the evolving position of schools and ideas of schooling in our society today including colleges as a societal resource.  </w:t>
      </w:r>
      <w:r w:rsidR="00AB1FE1">
        <w:rPr>
          <w:rFonts w:eastAsia="Times New Roman" w:cs="Times New Roman"/>
        </w:rPr>
        <w:t>We encourage participants to consider a broad definition of equity – not limited to problems of race and ethnicity but inclusive of gender, physical and cognitive abilities, teaching and learning platforms, teaching models and learning styles, and so on.</w:t>
      </w:r>
    </w:p>
    <w:p w:rsidR="005706A1" w:rsidRDefault="003C23A8" w:rsidP="004974A1">
      <w:pPr>
        <w:spacing w:before="100" w:beforeAutospacing="1" w:after="100" w:afterAutospacing="1" w:line="240" w:lineRule="auto"/>
        <w:rPr>
          <w:rFonts w:eastAsia="Times New Roman" w:cs="Times New Roman"/>
        </w:rPr>
      </w:pPr>
      <w:r>
        <w:rPr>
          <w:rFonts w:eastAsia="Times New Roman" w:cs="Times New Roman"/>
        </w:rPr>
        <w:t>T</w:t>
      </w:r>
      <w:r w:rsidR="00AB1FE1">
        <w:rPr>
          <w:rFonts w:eastAsia="Times New Roman" w:cs="Times New Roman"/>
        </w:rPr>
        <w:t>his</w:t>
      </w:r>
      <w:r>
        <w:rPr>
          <w:rFonts w:eastAsia="Times New Roman" w:cs="Times New Roman"/>
        </w:rPr>
        <w:t xml:space="preserve"> is a</w:t>
      </w:r>
      <w:r w:rsidR="00AB1FE1">
        <w:rPr>
          <w:rFonts w:eastAsia="Times New Roman" w:cs="Times New Roman"/>
        </w:rPr>
        <w:t xml:space="preserve"> hi</w:t>
      </w:r>
      <w:r>
        <w:rPr>
          <w:rFonts w:eastAsia="Times New Roman" w:cs="Times New Roman"/>
        </w:rPr>
        <w:t xml:space="preserve">ghly politicized election climate in which issues of equity </w:t>
      </w:r>
      <w:r w:rsidR="00D905C5">
        <w:rPr>
          <w:rFonts w:eastAsia="Times New Roman" w:cs="Times New Roman"/>
        </w:rPr>
        <w:t>have become the topic of</w:t>
      </w:r>
      <w:r w:rsidR="005706A1">
        <w:rPr>
          <w:rFonts w:eastAsia="Times New Roman" w:cs="Times New Roman"/>
        </w:rPr>
        <w:t xml:space="preserve"> </w:t>
      </w:r>
      <w:r w:rsidR="00D905C5">
        <w:rPr>
          <w:rFonts w:eastAsia="Times New Roman" w:cs="Times New Roman"/>
        </w:rPr>
        <w:t xml:space="preserve">national </w:t>
      </w:r>
      <w:r w:rsidR="005706A1">
        <w:rPr>
          <w:rFonts w:eastAsia="Times New Roman" w:cs="Times New Roman"/>
        </w:rPr>
        <w:t>conversations.  How this impacts higher education, directly and indirectly, on national, state and local levels, is of paramount importance.  R</w:t>
      </w:r>
      <w:r>
        <w:rPr>
          <w:rFonts w:eastAsia="Times New Roman" w:cs="Times New Roman"/>
        </w:rPr>
        <w:t>eliable research</w:t>
      </w:r>
      <w:r w:rsidR="005706A1">
        <w:rPr>
          <w:rFonts w:eastAsia="Times New Roman" w:cs="Times New Roman"/>
        </w:rPr>
        <w:t xml:space="preserve"> and informed discussions are needed.  Consistent with this year’s theme, we encourage submissions that address </w:t>
      </w:r>
      <w:r w:rsidR="00D905C5">
        <w:rPr>
          <w:rFonts w:eastAsia="Times New Roman" w:cs="Times New Roman"/>
        </w:rPr>
        <w:t>topics such as</w:t>
      </w:r>
      <w:r w:rsidR="005706A1">
        <w:rPr>
          <w:rFonts w:eastAsia="Times New Roman" w:cs="Times New Roman"/>
        </w:rPr>
        <w:t>: student persistence and drop-out rates</w:t>
      </w:r>
      <w:r w:rsidR="004E6211">
        <w:rPr>
          <w:rFonts w:eastAsia="Times New Roman" w:cs="Times New Roman"/>
        </w:rPr>
        <w:t xml:space="preserve"> (age, race, ethnicity, immigration status, gender and sexual orientation, cognition, language)</w:t>
      </w:r>
      <w:r w:rsidR="005706A1">
        <w:rPr>
          <w:rFonts w:eastAsia="Times New Roman" w:cs="Times New Roman"/>
        </w:rPr>
        <w:t xml:space="preserve">, </w:t>
      </w:r>
      <w:r w:rsidR="00D905C5">
        <w:rPr>
          <w:rFonts w:eastAsia="Times New Roman" w:cs="Times New Roman"/>
        </w:rPr>
        <w:t xml:space="preserve">faculty </w:t>
      </w:r>
      <w:r w:rsidR="004E6211">
        <w:rPr>
          <w:rFonts w:eastAsia="Times New Roman" w:cs="Times New Roman"/>
        </w:rPr>
        <w:t>role conflicts, the college as a community partner, politics and higher education</w:t>
      </w:r>
      <w:r w:rsidR="00D905C5">
        <w:rPr>
          <w:rFonts w:eastAsia="Times New Roman" w:cs="Times New Roman"/>
        </w:rPr>
        <w:t>, equitable</w:t>
      </w:r>
      <w:r w:rsidR="00D905C5" w:rsidRPr="004E6211">
        <w:rPr>
          <w:rFonts w:eastAsia="Times New Roman" w:cs="Times New Roman"/>
        </w:rPr>
        <w:t xml:space="preserve"> assessment techniques,</w:t>
      </w:r>
      <w:r w:rsidR="00D905C5">
        <w:rPr>
          <w:rFonts w:eastAsia="Times New Roman" w:cs="Times New Roman"/>
        </w:rPr>
        <w:t xml:space="preserve"> addressing different</w:t>
      </w:r>
      <w:r w:rsidR="00D905C5" w:rsidRPr="004E6211">
        <w:rPr>
          <w:rFonts w:eastAsia="Times New Roman" w:cs="Times New Roman"/>
        </w:rPr>
        <w:t xml:space="preserve"> learning styles</w:t>
      </w:r>
      <w:r w:rsidR="00D905C5">
        <w:rPr>
          <w:rFonts w:eastAsia="Times New Roman" w:cs="Times New Roman"/>
        </w:rPr>
        <w:t>,</w:t>
      </w:r>
      <w:r w:rsidR="00D905C5" w:rsidRPr="004E6211">
        <w:rPr>
          <w:rFonts w:eastAsia="Times New Roman" w:cs="Times New Roman"/>
        </w:rPr>
        <w:t xml:space="preserve"> and teaching techniques</w:t>
      </w:r>
      <w:r w:rsidR="00D905C5">
        <w:rPr>
          <w:rFonts w:eastAsia="Times New Roman" w:cs="Times New Roman"/>
        </w:rPr>
        <w:t xml:space="preserve"> that promote equitable access to instruction.</w:t>
      </w:r>
    </w:p>
    <w:p w:rsidR="004974A1" w:rsidRPr="004E6211" w:rsidRDefault="00D905C5" w:rsidP="004974A1">
      <w:pPr>
        <w:spacing w:before="100" w:beforeAutospacing="1" w:after="100" w:afterAutospacing="1" w:line="240" w:lineRule="auto"/>
        <w:rPr>
          <w:rFonts w:eastAsia="Times New Roman" w:cs="Times New Roman"/>
        </w:rPr>
      </w:pPr>
      <w:r>
        <w:rPr>
          <w:rFonts w:eastAsia="Times New Roman" w:cs="Times New Roman"/>
        </w:rPr>
        <w:t xml:space="preserve">To these more </w:t>
      </w:r>
      <w:r w:rsidR="00690BF9">
        <w:rPr>
          <w:rFonts w:eastAsia="Times New Roman" w:cs="Times New Roman"/>
        </w:rPr>
        <w:t xml:space="preserve">theme focused </w:t>
      </w:r>
      <w:r>
        <w:rPr>
          <w:rFonts w:eastAsia="Times New Roman" w:cs="Times New Roman"/>
        </w:rPr>
        <w:t>topics</w:t>
      </w:r>
      <w:r w:rsidR="00690BF9">
        <w:rPr>
          <w:rFonts w:eastAsia="Times New Roman" w:cs="Times New Roman"/>
        </w:rPr>
        <w:t xml:space="preserve"> are also</w:t>
      </w:r>
      <w:r>
        <w:rPr>
          <w:rFonts w:eastAsia="Times New Roman" w:cs="Times New Roman"/>
        </w:rPr>
        <w:t xml:space="preserve"> those addressing g</w:t>
      </w:r>
      <w:r w:rsidR="005706A1" w:rsidRPr="004E6211">
        <w:rPr>
          <w:rFonts w:eastAsia="Times New Roman" w:cs="Times New Roman"/>
        </w:rPr>
        <w:t xml:space="preserve">eneral questions such as: What are students learning and why?  Who is teaching and how?  What is the best way to prepare students for today’s workforce?  How have we altered our programs to meet the demands of student populations?  To what extent should work experiences and scheduling needs factor into expectations of students?  </w:t>
      </w:r>
      <w:r>
        <w:rPr>
          <w:rFonts w:eastAsia="Times New Roman" w:cs="Times New Roman"/>
        </w:rPr>
        <w:t xml:space="preserve">As always, submissions related to undergraduate education that lie outside the purview of this theme </w:t>
      </w:r>
      <w:r w:rsidR="008F2227">
        <w:rPr>
          <w:rFonts w:eastAsia="Times New Roman" w:cs="Times New Roman"/>
        </w:rPr>
        <w:t>will</w:t>
      </w:r>
      <w:r w:rsidR="00690BF9">
        <w:rPr>
          <w:rFonts w:eastAsia="Times New Roman" w:cs="Times New Roman"/>
        </w:rPr>
        <w:t xml:space="preserve"> </w:t>
      </w:r>
      <w:r w:rsidR="008F2227">
        <w:rPr>
          <w:rFonts w:eastAsia="Times New Roman" w:cs="Times New Roman"/>
        </w:rPr>
        <w:t xml:space="preserve">still be </w:t>
      </w:r>
      <w:r w:rsidR="005706A1" w:rsidRPr="004E6211">
        <w:rPr>
          <w:rFonts w:eastAsia="Times New Roman" w:cs="Times New Roman"/>
        </w:rPr>
        <w:t xml:space="preserve">considered.  </w:t>
      </w:r>
    </w:p>
    <w:p w:rsidR="004974A1" w:rsidRDefault="004974A1" w:rsidP="004974A1">
      <w:pPr>
        <w:spacing w:before="100" w:beforeAutospacing="1" w:after="100" w:afterAutospacing="1" w:line="240" w:lineRule="auto"/>
        <w:rPr>
          <w:rFonts w:eastAsia="Times New Roman" w:cs="Times New Roman"/>
          <w:b/>
          <w:bCs/>
        </w:rPr>
      </w:pPr>
      <w:r w:rsidRPr="004974A1">
        <w:rPr>
          <w:rFonts w:eastAsia="Times New Roman" w:cs="Times New Roman"/>
          <w:b/>
          <w:bCs/>
        </w:rPr>
        <w:lastRenderedPageBreak/>
        <w:t xml:space="preserve">Possible paper </w:t>
      </w:r>
      <w:r w:rsidR="00DA5C21">
        <w:rPr>
          <w:rFonts w:eastAsia="Times New Roman" w:cs="Times New Roman"/>
          <w:b/>
          <w:bCs/>
        </w:rPr>
        <w:t>topics or presentations</w:t>
      </w:r>
      <w:r w:rsidRPr="004974A1">
        <w:rPr>
          <w:rFonts w:eastAsia="Times New Roman" w:cs="Times New Roman"/>
          <w:b/>
          <w:bCs/>
        </w:rPr>
        <w:t xml:space="preserve"> include:</w:t>
      </w:r>
    </w:p>
    <w:p w:rsidR="004E6211" w:rsidRPr="00DA5C21" w:rsidRDefault="00DA5C21" w:rsidP="004974A1">
      <w:pPr>
        <w:spacing w:before="100" w:beforeAutospacing="1" w:after="100" w:afterAutospacing="1" w:line="240" w:lineRule="auto"/>
        <w:rPr>
          <w:rFonts w:eastAsia="Times New Roman" w:cs="Times New Roman"/>
          <w:bCs/>
          <w:i/>
        </w:rPr>
      </w:pPr>
      <w:r w:rsidRPr="00DA5C21">
        <w:rPr>
          <w:rFonts w:eastAsia="Times New Roman" w:cs="Times New Roman"/>
          <w:bCs/>
          <w:i/>
        </w:rPr>
        <w:t xml:space="preserve">Models of teaching and </w:t>
      </w:r>
      <w:r w:rsidR="00BA1412" w:rsidRPr="00DA5C21">
        <w:rPr>
          <w:rFonts w:eastAsia="Times New Roman" w:cs="Times New Roman"/>
          <w:bCs/>
          <w:i/>
        </w:rPr>
        <w:t>learning</w:t>
      </w:r>
      <w:r>
        <w:rPr>
          <w:rFonts w:eastAsia="Times New Roman" w:cs="Times New Roman"/>
          <w:bCs/>
          <w:i/>
        </w:rPr>
        <w:t xml:space="preserve"> </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bCs/>
        </w:rPr>
        <w:t>Learning communities (including paired teaching)</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bCs/>
        </w:rPr>
        <w:t>Online and distance learning</w:t>
      </w:r>
    </w:p>
    <w:p w:rsid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bCs/>
        </w:rPr>
        <w:t>MOOCS</w:t>
      </w:r>
    </w:p>
    <w:p w:rsidR="00BA1412" w:rsidRPr="004974A1" w:rsidRDefault="00BA1412" w:rsidP="00BA1412">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Engaging students in critical thinking through a variety of active learning strategies</w:t>
      </w:r>
    </w:p>
    <w:p w:rsidR="00DA5C21" w:rsidRPr="00DA5C21" w:rsidRDefault="00DA5C21" w:rsidP="00DA5C21">
      <w:pPr>
        <w:spacing w:before="100" w:beforeAutospacing="1" w:after="100" w:afterAutospacing="1" w:line="240" w:lineRule="auto"/>
        <w:outlineLvl w:val="1"/>
        <w:rPr>
          <w:rFonts w:eastAsia="Times New Roman" w:cs="Times New Roman"/>
          <w:bCs/>
          <w:i/>
        </w:rPr>
      </w:pPr>
      <w:r w:rsidRPr="00DA5C21">
        <w:rPr>
          <w:rFonts w:eastAsia="Times New Roman" w:cs="Times New Roman"/>
          <w:bCs/>
          <w:i/>
        </w:rPr>
        <w:t>Social and cultural factors impacting teaching and learning</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bCs/>
        </w:rPr>
        <w:t>Student characteristics (teaching the returning student, the older student, students needing remediation, ESL students, students with disabilities, etc.)</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bCs/>
        </w:rPr>
        <w:t>Teaching students with different learning styles</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Formatting courses to fit different schedules and time constraints (abbreviated/accelerated courses)</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Politics in the classroom and creating safe environment</w:t>
      </w:r>
      <w:r w:rsidR="00DA5C21">
        <w:rPr>
          <w:rFonts w:eastAsia="Times New Roman" w:cs="Times New Roman"/>
        </w:rPr>
        <w:t>s</w:t>
      </w:r>
      <w:r w:rsidRPr="004974A1">
        <w:rPr>
          <w:rFonts w:eastAsia="Times New Roman" w:cs="Times New Roman"/>
        </w:rPr>
        <w:t xml:space="preserve"> for diverse opinions</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Impact of funding and funding sources on education</w:t>
      </w:r>
    </w:p>
    <w:p w:rsidR="00DA5C21" w:rsidRPr="00DA5C21" w:rsidRDefault="00DA5C21" w:rsidP="00DA5C21">
      <w:pPr>
        <w:spacing w:before="100" w:beforeAutospacing="1" w:after="100" w:afterAutospacing="1" w:line="240" w:lineRule="auto"/>
        <w:outlineLvl w:val="1"/>
        <w:rPr>
          <w:rFonts w:eastAsia="Times New Roman" w:cs="Times New Roman"/>
          <w:bCs/>
        </w:rPr>
      </w:pPr>
      <w:r>
        <w:rPr>
          <w:rFonts w:eastAsia="Times New Roman" w:cs="Times New Roman"/>
          <w:bCs/>
          <w:i/>
        </w:rPr>
        <w:t>Climates of accountability and impacts of stakeholders</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The business of education; education as a market value</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Education as a consumer product</w:t>
      </w:r>
    </w:p>
    <w:p w:rsidR="004974A1" w:rsidRPr="00BA1412" w:rsidRDefault="00BA1412" w:rsidP="004974A1">
      <w:pPr>
        <w:pStyle w:val="ListParagraph"/>
        <w:numPr>
          <w:ilvl w:val="0"/>
          <w:numId w:val="1"/>
        </w:numPr>
        <w:spacing w:before="100" w:beforeAutospacing="1" w:after="100" w:afterAutospacing="1" w:line="240" w:lineRule="auto"/>
        <w:outlineLvl w:val="1"/>
        <w:rPr>
          <w:rFonts w:eastAsia="Times New Roman" w:cs="Times New Roman"/>
          <w:bCs/>
        </w:rPr>
      </w:pPr>
      <w:r>
        <w:rPr>
          <w:rFonts w:eastAsia="Times New Roman" w:cs="Times New Roman"/>
        </w:rPr>
        <w:t>Financial aid as a factor in student persistence</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Admission and graduation rates: standards and trends</w:t>
      </w:r>
    </w:p>
    <w:p w:rsidR="004974A1" w:rsidRPr="004974A1" w:rsidRDefault="004974A1" w:rsidP="004974A1">
      <w:pPr>
        <w:pStyle w:val="ListParagraph"/>
        <w:numPr>
          <w:ilvl w:val="0"/>
          <w:numId w:val="1"/>
        </w:numPr>
        <w:spacing w:before="100" w:beforeAutospacing="1" w:after="100" w:afterAutospacing="1" w:line="240" w:lineRule="auto"/>
        <w:outlineLvl w:val="1"/>
        <w:rPr>
          <w:rFonts w:eastAsia="Times New Roman" w:cs="Times New Roman"/>
          <w:bCs/>
        </w:rPr>
      </w:pPr>
      <w:r w:rsidRPr="004974A1">
        <w:rPr>
          <w:rFonts w:eastAsia="Times New Roman" w:cs="Times New Roman"/>
        </w:rPr>
        <w:t>Creating a range of approaches to assess learning</w:t>
      </w:r>
    </w:p>
    <w:p w:rsidR="004974A1" w:rsidRPr="004974A1" w:rsidRDefault="004974A1" w:rsidP="004974A1">
      <w:pPr>
        <w:spacing w:after="0" w:line="240" w:lineRule="auto"/>
        <w:rPr>
          <w:rFonts w:eastAsia="Times New Roman" w:cs="Times New Roman"/>
        </w:rPr>
      </w:pPr>
      <w:r w:rsidRPr="004974A1">
        <w:rPr>
          <w:rFonts w:eastAsia="Times New Roman" w:cs="Times New Roman"/>
        </w:rPr>
        <w:t>Presentations can be given as traditional papers, roundtable discussions, power point presentations, teaching demonstrations, case studies, displays and discussion of student work, or other methods of presentation deemed suitable. </w:t>
      </w:r>
    </w:p>
    <w:p w:rsidR="004974A1" w:rsidRPr="004974A1" w:rsidRDefault="004974A1" w:rsidP="004974A1">
      <w:pPr>
        <w:spacing w:after="0" w:line="240" w:lineRule="auto"/>
        <w:rPr>
          <w:rFonts w:eastAsia="Times New Roman" w:cs="Times New Roman"/>
        </w:rPr>
      </w:pPr>
    </w:p>
    <w:p w:rsidR="004974A1" w:rsidRPr="004974A1" w:rsidRDefault="004974A1" w:rsidP="004974A1">
      <w:pPr>
        <w:spacing w:after="0" w:line="240" w:lineRule="auto"/>
        <w:rPr>
          <w:rFonts w:eastAsia="Times New Roman" w:cs="Times New Roman"/>
        </w:rPr>
      </w:pPr>
    </w:p>
    <w:p w:rsidR="004974A1" w:rsidRPr="004974A1" w:rsidRDefault="004974A1" w:rsidP="004974A1">
      <w:pPr>
        <w:spacing w:before="100" w:beforeAutospacing="1" w:after="100" w:afterAutospacing="1" w:line="240" w:lineRule="auto"/>
        <w:outlineLvl w:val="1"/>
        <w:rPr>
          <w:rFonts w:eastAsia="Times New Roman" w:cs="Times New Roman"/>
          <w:b/>
          <w:bCs/>
          <w:sz w:val="36"/>
          <w:szCs w:val="36"/>
        </w:rPr>
      </w:pPr>
      <w:r w:rsidRPr="004974A1">
        <w:rPr>
          <w:rFonts w:eastAsia="Times New Roman" w:cs="Times New Roman"/>
          <w:b/>
          <w:bCs/>
          <w:sz w:val="36"/>
          <w:szCs w:val="36"/>
        </w:rPr>
        <w:t xml:space="preserve">Instructions for Submission of a proposal: (Abstracts due by November </w:t>
      </w:r>
      <w:r w:rsidR="008F2227">
        <w:rPr>
          <w:rFonts w:eastAsia="Times New Roman" w:cs="Times New Roman"/>
          <w:b/>
          <w:bCs/>
          <w:sz w:val="36"/>
          <w:szCs w:val="36"/>
        </w:rPr>
        <w:t>15</w:t>
      </w:r>
      <w:r w:rsidRPr="004974A1">
        <w:rPr>
          <w:rFonts w:eastAsia="Times New Roman" w:cs="Times New Roman"/>
          <w:b/>
          <w:bCs/>
          <w:sz w:val="36"/>
          <w:szCs w:val="36"/>
        </w:rPr>
        <w:t>, 201</w:t>
      </w:r>
      <w:r w:rsidR="00BA1412">
        <w:rPr>
          <w:rFonts w:eastAsia="Times New Roman" w:cs="Times New Roman"/>
          <w:b/>
          <w:bCs/>
          <w:sz w:val="36"/>
          <w:szCs w:val="36"/>
        </w:rPr>
        <w:t>6</w:t>
      </w:r>
      <w:r w:rsidRPr="004974A1">
        <w:rPr>
          <w:rFonts w:eastAsia="Times New Roman" w:cs="Times New Roman"/>
          <w:b/>
          <w:bCs/>
          <w:sz w:val="36"/>
          <w:szCs w:val="36"/>
        </w:rPr>
        <w:t>)</w:t>
      </w:r>
    </w:p>
    <w:p w:rsidR="008F2227" w:rsidRDefault="004974A1" w:rsidP="004974A1">
      <w:pPr>
        <w:spacing w:after="0" w:line="240" w:lineRule="auto"/>
        <w:rPr>
          <w:rFonts w:eastAsia="Times New Roman" w:cs="Times New Roman"/>
          <w:sz w:val="24"/>
          <w:szCs w:val="24"/>
        </w:rPr>
      </w:pPr>
      <w:r w:rsidRPr="004974A1">
        <w:rPr>
          <w:rFonts w:eastAsia="Times New Roman" w:cs="Times New Roman"/>
          <w:sz w:val="24"/>
          <w:szCs w:val="24"/>
        </w:rPr>
        <w:t xml:space="preserve">Each individual presentation should be limited to 20 minutes to allow for audience comments and questions at the end. You </w:t>
      </w:r>
      <w:r w:rsidR="008F2227">
        <w:rPr>
          <w:rFonts w:eastAsia="Times New Roman" w:cs="Times New Roman"/>
          <w:sz w:val="24"/>
          <w:szCs w:val="24"/>
        </w:rPr>
        <w:t>are encouraged to</w:t>
      </w:r>
      <w:r w:rsidR="008F2227" w:rsidRPr="004974A1">
        <w:rPr>
          <w:rFonts w:eastAsia="Times New Roman" w:cs="Times New Roman"/>
          <w:sz w:val="24"/>
          <w:szCs w:val="24"/>
        </w:rPr>
        <w:t xml:space="preserve"> </w:t>
      </w:r>
      <w:r w:rsidRPr="004974A1">
        <w:rPr>
          <w:rFonts w:eastAsia="Times New Roman" w:cs="Times New Roman"/>
          <w:sz w:val="24"/>
          <w:szCs w:val="24"/>
        </w:rPr>
        <w:t>submit a full panel of three presentations,</w:t>
      </w:r>
      <w:r w:rsidR="008F2227">
        <w:rPr>
          <w:rFonts w:eastAsia="Times New Roman" w:cs="Times New Roman"/>
          <w:sz w:val="24"/>
          <w:szCs w:val="24"/>
        </w:rPr>
        <w:t xml:space="preserve"> however</w:t>
      </w:r>
      <w:r w:rsidRPr="004974A1">
        <w:rPr>
          <w:rFonts w:eastAsia="Times New Roman" w:cs="Times New Roman"/>
          <w:sz w:val="24"/>
          <w:szCs w:val="24"/>
        </w:rPr>
        <w:t xml:space="preserve"> partial panels of two presentations or single presentations</w:t>
      </w:r>
      <w:r w:rsidR="008F2227">
        <w:rPr>
          <w:rFonts w:eastAsia="Times New Roman" w:cs="Times New Roman"/>
          <w:sz w:val="24"/>
          <w:szCs w:val="24"/>
        </w:rPr>
        <w:t xml:space="preserve"> will also be considered and will be grouped with other individual presentations by the conference organizers in order to form a full panel of three presentations</w:t>
      </w:r>
      <w:r w:rsidRPr="004974A1">
        <w:rPr>
          <w:rFonts w:eastAsia="Times New Roman" w:cs="Times New Roman"/>
          <w:sz w:val="24"/>
          <w:szCs w:val="24"/>
        </w:rPr>
        <w:t xml:space="preserve">.   Alternatively, a roundtable presentation can be submitted.  Roundtables run concurrently with presentation sessions, a full 75 minutes. </w:t>
      </w:r>
    </w:p>
    <w:p w:rsidR="008F2227" w:rsidRDefault="008F2227" w:rsidP="004974A1">
      <w:pPr>
        <w:spacing w:after="0" w:line="240" w:lineRule="auto"/>
        <w:rPr>
          <w:rFonts w:eastAsia="Times New Roman" w:cs="Times New Roman"/>
          <w:sz w:val="24"/>
          <w:szCs w:val="24"/>
        </w:rPr>
      </w:pPr>
    </w:p>
    <w:p w:rsidR="004974A1" w:rsidRPr="004974A1" w:rsidRDefault="004974A1" w:rsidP="004974A1">
      <w:pPr>
        <w:spacing w:after="0" w:line="240" w:lineRule="auto"/>
        <w:rPr>
          <w:rFonts w:eastAsia="Times New Roman" w:cs="Times New Roman"/>
          <w:color w:val="000000" w:themeColor="text1"/>
          <w:sz w:val="24"/>
          <w:szCs w:val="24"/>
        </w:rPr>
      </w:pPr>
      <w:r w:rsidRPr="004974A1">
        <w:rPr>
          <w:rFonts w:eastAsia="Times New Roman" w:cs="Times New Roman"/>
          <w:sz w:val="24"/>
          <w:szCs w:val="24"/>
        </w:rPr>
        <w:t>The submission form requires name, institutional affiliation, email address, a title for each presentation, a</w:t>
      </w:r>
      <w:r w:rsidR="008F2227">
        <w:rPr>
          <w:rFonts w:eastAsia="Times New Roman" w:cs="Times New Roman"/>
          <w:sz w:val="24"/>
          <w:szCs w:val="24"/>
        </w:rPr>
        <w:t>nd a</w:t>
      </w:r>
      <w:r w:rsidRPr="004974A1">
        <w:rPr>
          <w:rFonts w:eastAsia="Times New Roman" w:cs="Times New Roman"/>
          <w:sz w:val="24"/>
          <w:szCs w:val="24"/>
        </w:rPr>
        <w:t xml:space="preserve"> 250-300 word abstract for each presentation</w:t>
      </w:r>
      <w:r w:rsidR="008F2227">
        <w:rPr>
          <w:rFonts w:eastAsia="Times New Roman" w:cs="Times New Roman"/>
          <w:sz w:val="24"/>
          <w:szCs w:val="24"/>
        </w:rPr>
        <w:t>. W</w:t>
      </w:r>
      <w:r w:rsidRPr="004974A1">
        <w:rPr>
          <w:rFonts w:eastAsia="Times New Roman" w:cs="Times New Roman"/>
          <w:sz w:val="24"/>
          <w:szCs w:val="24"/>
        </w:rPr>
        <w:t>hen submitting a full panel</w:t>
      </w:r>
      <w:r w:rsidR="008F2227">
        <w:rPr>
          <w:rFonts w:eastAsia="Times New Roman" w:cs="Times New Roman"/>
          <w:sz w:val="24"/>
          <w:szCs w:val="24"/>
        </w:rPr>
        <w:t>,</w:t>
      </w:r>
      <w:r w:rsidRPr="004974A1">
        <w:rPr>
          <w:rFonts w:eastAsia="Times New Roman" w:cs="Times New Roman"/>
          <w:sz w:val="24"/>
          <w:szCs w:val="24"/>
        </w:rPr>
        <w:t xml:space="preserve"> </w:t>
      </w:r>
      <w:r w:rsidR="008F2227">
        <w:rPr>
          <w:rFonts w:eastAsia="Times New Roman" w:cs="Times New Roman"/>
          <w:sz w:val="24"/>
          <w:szCs w:val="24"/>
        </w:rPr>
        <w:lastRenderedPageBreak/>
        <w:t xml:space="preserve">please also provide </w:t>
      </w:r>
      <w:r w:rsidRPr="004974A1">
        <w:rPr>
          <w:rFonts w:eastAsia="Times New Roman" w:cs="Times New Roman"/>
          <w:sz w:val="24"/>
          <w:szCs w:val="24"/>
        </w:rPr>
        <w:t>a panel title</w:t>
      </w:r>
      <w:r w:rsidRPr="004974A1">
        <w:rPr>
          <w:rFonts w:eastAsia="Times New Roman" w:cs="Times New Roman"/>
          <w:color w:val="000000" w:themeColor="text1"/>
          <w:sz w:val="24"/>
          <w:szCs w:val="24"/>
        </w:rPr>
        <w:t xml:space="preserve"> </w:t>
      </w:r>
      <w:r w:rsidR="003E2526">
        <w:rPr>
          <w:rFonts w:eastAsia="Times New Roman" w:cs="Times New Roman"/>
          <w:color w:val="000000" w:themeColor="text1"/>
          <w:sz w:val="24"/>
          <w:szCs w:val="24"/>
        </w:rPr>
        <w:t>**</w:t>
      </w:r>
      <w:r w:rsidR="003E2526" w:rsidRPr="003E2526">
        <w:rPr>
          <w:rFonts w:eastAsia="Times New Roman" w:cs="Times New Roman"/>
          <w:color w:val="000000" w:themeColor="text1"/>
          <w:sz w:val="24"/>
          <w:szCs w:val="24"/>
        </w:rPr>
        <w:t xml:space="preserve"> </w:t>
      </w:r>
      <w:proofErr w:type="gramStart"/>
      <w:r w:rsidR="003E2526">
        <w:rPr>
          <w:rFonts w:eastAsia="Times New Roman" w:cs="Times New Roman"/>
          <w:color w:val="000000" w:themeColor="text1"/>
          <w:sz w:val="24"/>
          <w:szCs w:val="24"/>
        </w:rPr>
        <w:t>For</w:t>
      </w:r>
      <w:proofErr w:type="gramEnd"/>
      <w:r w:rsidR="003E2526">
        <w:rPr>
          <w:rFonts w:eastAsia="Times New Roman" w:cs="Times New Roman"/>
          <w:color w:val="000000" w:themeColor="text1"/>
          <w:sz w:val="24"/>
          <w:szCs w:val="24"/>
        </w:rPr>
        <w:t xml:space="preserve"> a</w:t>
      </w:r>
      <w:r w:rsidR="003E2526" w:rsidRPr="004974A1">
        <w:rPr>
          <w:rFonts w:eastAsia="Times New Roman" w:cs="Times New Roman"/>
          <w:color w:val="000000" w:themeColor="text1"/>
          <w:sz w:val="24"/>
          <w:szCs w:val="24"/>
        </w:rPr>
        <w:t xml:space="preserve"> </w:t>
      </w:r>
      <w:r w:rsidR="003E2526">
        <w:rPr>
          <w:rFonts w:eastAsia="Times New Roman" w:cs="Times New Roman"/>
          <w:color w:val="000000" w:themeColor="text1"/>
          <w:sz w:val="24"/>
          <w:szCs w:val="24"/>
        </w:rPr>
        <w:t>double session or full panel, o</w:t>
      </w:r>
      <w:r w:rsidR="003811FD">
        <w:rPr>
          <w:rFonts w:eastAsia="Times New Roman" w:cs="Times New Roman"/>
          <w:color w:val="000000" w:themeColor="text1"/>
          <w:sz w:val="24"/>
          <w:szCs w:val="24"/>
        </w:rPr>
        <w:t>nly one person, the organizer,</w:t>
      </w:r>
      <w:r w:rsidR="003E2526">
        <w:rPr>
          <w:rFonts w:eastAsia="Times New Roman" w:cs="Times New Roman"/>
          <w:color w:val="000000" w:themeColor="text1"/>
          <w:sz w:val="24"/>
          <w:szCs w:val="24"/>
        </w:rPr>
        <w:t xml:space="preserve"> should submit the</w:t>
      </w:r>
      <w:r w:rsidR="003811FD">
        <w:rPr>
          <w:rFonts w:eastAsia="Times New Roman" w:cs="Times New Roman"/>
          <w:color w:val="000000" w:themeColor="text1"/>
          <w:sz w:val="24"/>
          <w:szCs w:val="24"/>
        </w:rPr>
        <w:t xml:space="preserve"> proposal. Their co-presenters’ contact information should be entered into the form’s text box and their titles and abstracts attached with the organizer’s as a single document</w:t>
      </w:r>
      <w:proofErr w:type="gramStart"/>
      <w:r w:rsidR="003811FD">
        <w:rPr>
          <w:rFonts w:eastAsia="Times New Roman" w:cs="Times New Roman"/>
          <w:color w:val="000000" w:themeColor="text1"/>
          <w:sz w:val="24"/>
          <w:szCs w:val="24"/>
        </w:rPr>
        <w:t>.</w:t>
      </w:r>
      <w:r w:rsidR="003E2526">
        <w:rPr>
          <w:rFonts w:eastAsia="Times New Roman" w:cs="Times New Roman"/>
          <w:color w:val="000000" w:themeColor="text1"/>
          <w:sz w:val="24"/>
          <w:szCs w:val="24"/>
        </w:rPr>
        <w:t>*</w:t>
      </w:r>
      <w:proofErr w:type="gramEnd"/>
      <w:r w:rsidR="003E2526">
        <w:rPr>
          <w:rFonts w:eastAsia="Times New Roman" w:cs="Times New Roman"/>
          <w:color w:val="000000" w:themeColor="text1"/>
          <w:sz w:val="24"/>
          <w:szCs w:val="24"/>
        </w:rPr>
        <w:t>*</w:t>
      </w:r>
      <w:r w:rsidR="003811FD">
        <w:rPr>
          <w:rFonts w:eastAsia="Times New Roman" w:cs="Times New Roman"/>
          <w:color w:val="000000" w:themeColor="text1"/>
          <w:sz w:val="24"/>
          <w:szCs w:val="24"/>
        </w:rPr>
        <w:t xml:space="preserve"> </w:t>
      </w:r>
    </w:p>
    <w:p w:rsidR="004974A1" w:rsidRPr="004974A1" w:rsidRDefault="004974A1" w:rsidP="004974A1">
      <w:pPr>
        <w:spacing w:before="100" w:beforeAutospacing="1" w:after="100" w:afterAutospacing="1" w:line="240" w:lineRule="auto"/>
        <w:rPr>
          <w:rFonts w:eastAsia="Times New Roman" w:cs="Times New Roman"/>
          <w:sz w:val="24"/>
          <w:szCs w:val="24"/>
        </w:rPr>
      </w:pPr>
      <w:r w:rsidRPr="004974A1">
        <w:rPr>
          <w:rFonts w:eastAsia="Times New Roman" w:cs="Times New Roman"/>
          <w:sz w:val="24"/>
          <w:szCs w:val="24"/>
        </w:rPr>
        <w:t xml:space="preserve">Send all questions or communication to the conference committee at: </w:t>
      </w:r>
      <w:hyperlink r:id="rId5" w:history="1">
        <w:r w:rsidRPr="004974A1">
          <w:rPr>
            <w:rFonts w:eastAsia="Times New Roman" w:cs="Times New Roman"/>
            <w:color w:val="0000FF"/>
            <w:sz w:val="24"/>
            <w:szCs w:val="24"/>
            <w:u w:val="single"/>
          </w:rPr>
          <w:t>tristatebestpractices@gmail.com</w:t>
        </w:r>
      </w:hyperlink>
    </w:p>
    <w:p w:rsidR="004974A1" w:rsidRPr="004974A1" w:rsidRDefault="004974A1" w:rsidP="004974A1">
      <w:pPr>
        <w:spacing w:after="0" w:line="240" w:lineRule="auto"/>
        <w:rPr>
          <w:rFonts w:eastAsia="Times New Roman" w:cs="Times New Roman"/>
          <w:sz w:val="24"/>
          <w:szCs w:val="24"/>
        </w:rPr>
      </w:pPr>
      <w:r w:rsidRPr="004974A1">
        <w:rPr>
          <w:rFonts w:eastAsia="Times New Roman" w:cs="Times New Roman"/>
          <w:color w:val="000000" w:themeColor="text1"/>
          <w:sz w:val="24"/>
          <w:szCs w:val="24"/>
        </w:rPr>
        <w:t xml:space="preserve">All submissions are to be made through an online form available on the conference website:  </w:t>
      </w:r>
      <w:r w:rsidRPr="004974A1">
        <w:rPr>
          <w:rFonts w:eastAsia="Times New Roman" w:cs="Times New Roman"/>
          <w:sz w:val="24"/>
          <w:szCs w:val="24"/>
        </w:rPr>
        <w:t xml:space="preserve">  </w:t>
      </w:r>
    </w:p>
    <w:p w:rsidR="004974A1" w:rsidRPr="004974A1" w:rsidRDefault="004974A1" w:rsidP="004974A1">
      <w:pPr>
        <w:spacing w:after="100" w:afterAutospacing="1" w:line="240" w:lineRule="auto"/>
        <w:rPr>
          <w:rFonts w:eastAsia="Times New Roman" w:cs="Times New Roman"/>
          <w:sz w:val="24"/>
          <w:szCs w:val="24"/>
        </w:rPr>
      </w:pPr>
      <w:r w:rsidRPr="004974A1">
        <w:rPr>
          <w:rFonts w:eastAsia="Times New Roman" w:cs="Times New Roman"/>
          <w:sz w:val="24"/>
          <w:szCs w:val="24"/>
        </w:rPr>
        <w:t xml:space="preserve"> </w:t>
      </w:r>
      <w:hyperlink r:id="rId6" w:history="1">
        <w:r w:rsidRPr="004974A1">
          <w:rPr>
            <w:rFonts w:eastAsia="Times New Roman" w:cs="Times New Roman"/>
            <w:color w:val="0000FF"/>
            <w:sz w:val="24"/>
            <w:szCs w:val="24"/>
            <w:u w:val="single"/>
          </w:rPr>
          <w:t>http://www.bergen.edu/tristate</w:t>
        </w:r>
      </w:hyperlink>
    </w:p>
    <w:p w:rsidR="004974A1" w:rsidRPr="004974A1" w:rsidRDefault="004974A1" w:rsidP="004974A1">
      <w:pPr>
        <w:spacing w:before="100" w:beforeAutospacing="1" w:after="100" w:afterAutospacing="1" w:line="240" w:lineRule="auto"/>
        <w:rPr>
          <w:rFonts w:eastAsia="Times New Roman" w:cs="Times New Roman"/>
          <w:sz w:val="24"/>
          <w:szCs w:val="24"/>
        </w:rPr>
      </w:pPr>
    </w:p>
    <w:sectPr w:rsidR="004974A1" w:rsidRPr="004974A1" w:rsidSect="0093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72F78"/>
    <w:multiLevelType w:val="hybridMultilevel"/>
    <w:tmpl w:val="A20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1"/>
    <w:rsid w:val="001C4875"/>
    <w:rsid w:val="002D4162"/>
    <w:rsid w:val="003031AB"/>
    <w:rsid w:val="003811FD"/>
    <w:rsid w:val="003A0883"/>
    <w:rsid w:val="003C23A8"/>
    <w:rsid w:val="003E2526"/>
    <w:rsid w:val="004723B6"/>
    <w:rsid w:val="004974A1"/>
    <w:rsid w:val="004E6211"/>
    <w:rsid w:val="004F00C6"/>
    <w:rsid w:val="00552273"/>
    <w:rsid w:val="005706A1"/>
    <w:rsid w:val="00690BF9"/>
    <w:rsid w:val="007356B6"/>
    <w:rsid w:val="007B41EC"/>
    <w:rsid w:val="007C0870"/>
    <w:rsid w:val="00841073"/>
    <w:rsid w:val="0089173D"/>
    <w:rsid w:val="008C7BDA"/>
    <w:rsid w:val="008F2227"/>
    <w:rsid w:val="00936F6D"/>
    <w:rsid w:val="009952A6"/>
    <w:rsid w:val="00A2438C"/>
    <w:rsid w:val="00AB1FE1"/>
    <w:rsid w:val="00B400D9"/>
    <w:rsid w:val="00B64214"/>
    <w:rsid w:val="00BA1412"/>
    <w:rsid w:val="00C65917"/>
    <w:rsid w:val="00C73DC4"/>
    <w:rsid w:val="00CE0A25"/>
    <w:rsid w:val="00D750E2"/>
    <w:rsid w:val="00D9022B"/>
    <w:rsid w:val="00D905C5"/>
    <w:rsid w:val="00DA5C21"/>
    <w:rsid w:val="00E07A29"/>
    <w:rsid w:val="00E20438"/>
    <w:rsid w:val="00E24469"/>
    <w:rsid w:val="00E560E8"/>
    <w:rsid w:val="00E56EDB"/>
    <w:rsid w:val="00E8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D2B2-4548-419B-8D12-82500215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A1"/>
    <w:pPr>
      <w:ind w:left="720"/>
      <w:contextualSpacing/>
    </w:pPr>
  </w:style>
  <w:style w:type="paragraph" w:styleId="BalloonText">
    <w:name w:val="Balloon Text"/>
    <w:basedOn w:val="Normal"/>
    <w:link w:val="BalloonTextChar"/>
    <w:uiPriority w:val="99"/>
    <w:semiHidden/>
    <w:unhideWhenUsed/>
    <w:rsid w:val="001C4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gen.edu/tristate" TargetMode="External"/><Relationship Id="rId5" Type="http://schemas.openxmlformats.org/officeDocument/2006/relationships/hyperlink" Target="mailto:tristatebestpractic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Sarah Shurts</cp:lastModifiedBy>
  <cp:revision>2</cp:revision>
  <cp:lastPrinted>2016-08-31T18:38:00Z</cp:lastPrinted>
  <dcterms:created xsi:type="dcterms:W3CDTF">2016-09-18T02:33:00Z</dcterms:created>
  <dcterms:modified xsi:type="dcterms:W3CDTF">2016-09-18T02:33:00Z</dcterms:modified>
</cp:coreProperties>
</file>